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20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/01/2025 Prot. n. 4/25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alla fiera </w:t>
      </w:r>
    </w:p>
    <w:p w:rsidR="00000000" w:rsidDel="00000000" w:rsidP="00000000" w:rsidRDefault="00000000" w:rsidRPr="00000000" w14:paraId="00000005">
      <w:pPr>
        <w:spacing w:before="0" w:lineRule="auto"/>
        <w:jc w:val="left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sz w:val="28"/>
          <w:szCs w:val="28"/>
          <w:rtl w:val="0"/>
        </w:rPr>
        <w:t xml:space="preserve">CRUISE SHIP INTERIORS (Miami, 3-4 giugno 2025)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bookmarkStart w:colFirst="0" w:colLast="0" w:name="bookmark=id.30j0zll" w:id="0"/>
          <w:bookmarkEnd w:id="0"/>
          <w:p w:rsidR="00000000" w:rsidDel="00000000" w:rsidP="00000000" w:rsidRDefault="00000000" w:rsidRPr="00000000" w14:paraId="00000007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C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1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4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7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Nel caso in cui si tratti di impresa “associata” o “collegata” (ai sensi dell’allegato I al Reg. UE n. 651/2014), indicare per ogni impresa: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Nel sottoscrivere la presente domanda il legale rappresentante, presa visione della comunicazione del 20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/01/2025   prot. 4/2025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partecipare alla fiera CRUISE SHIP INTERIORS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uno stand di 9,3 mq. al costo previsto di EURO </w:t>
      </w:r>
      <w:r w:rsidDel="00000000" w:rsidR="00000000" w:rsidRPr="00000000">
        <w:rPr>
          <w:rFonts w:ascii="Arial" w:cs="Arial" w:eastAsia="Arial" w:hAnsi="Arial"/>
          <w:rtl w:val="0"/>
        </w:rPr>
        <w:t xml:space="preserve">2.0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+ IVA (se dovuta)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di approvarne espressamente tutte le clausole previste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8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A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C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70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0" w:lineRule="auto"/>
        <w:rPr>
          <w:rFonts w:ascii="Arial" w:cs="Arial" w:eastAsia="Arial" w:hAnsi="Arial"/>
          <w:strike w:val="1"/>
          <w:color w:val="ff0000"/>
          <w:sz w:val="20"/>
          <w:szCs w:val="20"/>
        </w:rPr>
      </w:pPr>
      <w:bookmarkStart w:colFirst="0" w:colLast="0" w:name="_heading=h.30j0zll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Rule="auto"/>
        <w:ind w:left="70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TECNE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tutte le spese dalla stessa sostenute per l'organizzazione dello stand;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6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8">
      <w:pPr>
        <w:spacing w:before="0" w:lineRule="auto"/>
        <w:ind w:left="708" w:firstLine="0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9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I dati forniti verranno trattati da TECNE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IL 06/02/2025</w:t>
      </w:r>
      <w:r w:rsidDel="00000000" w:rsidR="00000000" w:rsidRPr="00000000">
        <w:rPr>
          <w:rFonts w:ascii="Arial" w:cs="Arial" w:eastAsia="Arial" w:hAnsi="Arial"/>
          <w:b w:val="1"/>
          <w:color w:val="ff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tecne@pec.marche.camcom.it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 p.c. a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tecne@marche.camcom.it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before="0" w:lineRule="auto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175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pic:spPr>
                        </pic:pic>
                        <pic:pic>
                          <pic:nvPicPr>
                            <pic:cNvPr descr="https://symbola.net/wp-content/uploads/2019/06/camera-commercio-marche-XL.png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30851" l="-1" r="-2659" t="30319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b="0" l="0" r="0" t="0"/>
          <wp:wrapSquare wrapText="bothSides" distB="45720" distT="45720" distL="114300" distR="114300"/>
          <wp:docPr id="2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92F7B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1D509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cne@pec.marche.camcom.it" TargetMode="External"/><Relationship Id="rId8" Type="http://schemas.openxmlformats.org/officeDocument/2006/relationships/hyperlink" Target="mailto:tecne@marche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Dpm8EnD9WRfhMUzP1oyiJ1rkw==">CgMxLjAyCmlkLjMwajB6bGwyCWguMWZvYjl0ZTIJaC4zem55c2g3MgloLjJldDkycDAyCGguZ2pkZ3hzMgloLjMwajB6bGw4AHIhMUZpTktpM1MzLXVmcUdjZE5TZncweE5Yc25xcVRXeXds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2025-01-07T09:22:00Z</dcterms:created>
  <dc:creator>Valentina Giuliodori</dc:creator>
</cp:coreProperties>
</file>